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268EA" w14:textId="77777777" w:rsidR="00C11169" w:rsidRPr="00C11169" w:rsidRDefault="00C11169" w:rsidP="00C11169">
      <w:pPr>
        <w:spacing w:line="328" w:lineRule="auto"/>
        <w:ind w:left="2160"/>
        <w:jc w:val="right"/>
        <w:rPr>
          <w:rFonts w:eastAsia="Calibri"/>
          <w:sz w:val="24"/>
          <w:szCs w:val="24"/>
        </w:rPr>
      </w:pPr>
      <w:bookmarkStart w:id="0" w:name="_GoBack"/>
      <w:bookmarkEnd w:id="0"/>
      <w:r w:rsidRPr="00C11169">
        <w:rPr>
          <w:rFonts w:eastAsia="Calibri"/>
          <w:sz w:val="24"/>
          <w:szCs w:val="24"/>
        </w:rPr>
        <w:t>Jean-Yves Le Drian</w:t>
      </w:r>
    </w:p>
    <w:p w14:paraId="02DFA823" w14:textId="77777777" w:rsidR="00C11169" w:rsidRPr="00C11169" w:rsidRDefault="00C11169" w:rsidP="00C11169">
      <w:pPr>
        <w:spacing w:line="328" w:lineRule="auto"/>
        <w:ind w:left="2160"/>
        <w:jc w:val="right"/>
        <w:rPr>
          <w:rFonts w:eastAsia="Calibri"/>
          <w:sz w:val="24"/>
          <w:szCs w:val="24"/>
        </w:rPr>
      </w:pPr>
      <w:r w:rsidRPr="00C11169">
        <w:rPr>
          <w:rFonts w:eastAsia="Calibri"/>
          <w:sz w:val="24"/>
          <w:szCs w:val="24"/>
        </w:rPr>
        <w:t>Ministre de l’Europe et des Affaires étrangères</w:t>
      </w:r>
    </w:p>
    <w:p w14:paraId="5941F2FF" w14:textId="77777777" w:rsidR="00C11169" w:rsidRPr="00C11169" w:rsidRDefault="00C11169" w:rsidP="00C11169">
      <w:pPr>
        <w:spacing w:line="328" w:lineRule="auto"/>
        <w:ind w:left="2160"/>
        <w:jc w:val="right"/>
        <w:rPr>
          <w:rFonts w:eastAsia="Calibri"/>
          <w:sz w:val="24"/>
          <w:szCs w:val="24"/>
        </w:rPr>
      </w:pPr>
      <w:r w:rsidRPr="00C11169">
        <w:rPr>
          <w:rFonts w:eastAsia="Calibri"/>
          <w:sz w:val="24"/>
          <w:szCs w:val="24"/>
        </w:rPr>
        <w:t>37, Quai d’Orsay - 75351 Paris</w:t>
      </w:r>
    </w:p>
    <w:p w14:paraId="521407E4" w14:textId="77777777" w:rsidR="00C11169" w:rsidRPr="00C11169" w:rsidRDefault="00C11169" w:rsidP="00C11169">
      <w:pPr>
        <w:spacing w:line="328" w:lineRule="auto"/>
        <w:rPr>
          <w:rFonts w:eastAsia="Calibri"/>
          <w:sz w:val="24"/>
          <w:szCs w:val="24"/>
          <w:highlight w:val="yellow"/>
        </w:rPr>
      </w:pPr>
    </w:p>
    <w:p w14:paraId="657F8BD8" w14:textId="77777777" w:rsidR="006E0614" w:rsidRPr="00C11169" w:rsidRDefault="00EA3905" w:rsidP="00C11169">
      <w:pPr>
        <w:spacing w:line="328" w:lineRule="auto"/>
        <w:rPr>
          <w:rFonts w:eastAsia="Calibri"/>
          <w:sz w:val="24"/>
          <w:szCs w:val="24"/>
        </w:rPr>
      </w:pPr>
      <w:r w:rsidRPr="00C11169">
        <w:rPr>
          <w:rFonts w:eastAsia="Calibri"/>
          <w:sz w:val="24"/>
          <w:szCs w:val="24"/>
          <w:highlight w:val="yellow"/>
        </w:rPr>
        <w:t>Nom, Prénom,</w:t>
      </w:r>
      <w:r w:rsidRPr="00C11169">
        <w:rPr>
          <w:rFonts w:eastAsia="Calibri"/>
          <w:sz w:val="24"/>
          <w:szCs w:val="24"/>
          <w:highlight w:val="yellow"/>
        </w:rPr>
        <w:tab/>
      </w:r>
      <w:r w:rsidRPr="00C11169">
        <w:rPr>
          <w:rFonts w:eastAsia="Calibri"/>
          <w:sz w:val="24"/>
          <w:szCs w:val="24"/>
        </w:rPr>
        <w:tab/>
      </w:r>
      <w:r w:rsidRPr="00C11169">
        <w:rPr>
          <w:rFonts w:eastAsia="Calibri"/>
          <w:sz w:val="24"/>
          <w:szCs w:val="24"/>
        </w:rPr>
        <w:tab/>
      </w:r>
      <w:r w:rsidRPr="00C11169">
        <w:rPr>
          <w:rFonts w:eastAsia="Calibri"/>
          <w:sz w:val="24"/>
          <w:szCs w:val="24"/>
        </w:rPr>
        <w:tab/>
      </w:r>
      <w:r w:rsidRPr="00C11169">
        <w:rPr>
          <w:rFonts w:eastAsia="Calibri"/>
          <w:sz w:val="24"/>
          <w:szCs w:val="24"/>
        </w:rPr>
        <w:tab/>
      </w:r>
      <w:r w:rsidRPr="00C11169">
        <w:rPr>
          <w:rFonts w:eastAsia="Calibri"/>
          <w:sz w:val="24"/>
          <w:szCs w:val="24"/>
        </w:rPr>
        <w:tab/>
      </w:r>
      <w:r w:rsidRPr="00C11169">
        <w:rPr>
          <w:rFonts w:eastAsia="Calibri"/>
          <w:sz w:val="24"/>
          <w:szCs w:val="24"/>
        </w:rPr>
        <w:tab/>
      </w:r>
      <w:r w:rsidRPr="00C11169">
        <w:rPr>
          <w:rFonts w:eastAsia="Calibri"/>
          <w:sz w:val="24"/>
          <w:szCs w:val="24"/>
        </w:rPr>
        <w:tab/>
      </w:r>
      <w:r w:rsidRPr="00C11169">
        <w:rPr>
          <w:rFonts w:eastAsia="Calibri"/>
          <w:sz w:val="24"/>
          <w:szCs w:val="24"/>
        </w:rPr>
        <w:tab/>
      </w:r>
    </w:p>
    <w:p w14:paraId="6924CB63" w14:textId="77777777" w:rsidR="006E0614" w:rsidRPr="00C11169" w:rsidRDefault="00EA3905" w:rsidP="00C11169">
      <w:pPr>
        <w:spacing w:line="328" w:lineRule="auto"/>
        <w:rPr>
          <w:rFonts w:eastAsia="Calibri"/>
          <w:sz w:val="24"/>
          <w:szCs w:val="24"/>
        </w:rPr>
      </w:pPr>
      <w:r w:rsidRPr="00C11169">
        <w:rPr>
          <w:rFonts w:eastAsia="Calibri"/>
          <w:sz w:val="24"/>
          <w:szCs w:val="24"/>
          <w:highlight w:val="yellow"/>
        </w:rPr>
        <w:t>Votre adresse postale</w:t>
      </w:r>
      <w:r w:rsidRPr="00C11169">
        <w:rPr>
          <w:rFonts w:eastAsia="Calibri"/>
          <w:sz w:val="24"/>
          <w:szCs w:val="24"/>
          <w:highlight w:val="yellow"/>
        </w:rPr>
        <w:tab/>
      </w:r>
      <w:r w:rsidRPr="00C11169">
        <w:rPr>
          <w:rFonts w:eastAsia="Calibri"/>
          <w:sz w:val="24"/>
          <w:szCs w:val="24"/>
        </w:rPr>
        <w:tab/>
      </w:r>
      <w:r w:rsidRPr="00C11169">
        <w:rPr>
          <w:rFonts w:eastAsia="Calibri"/>
          <w:sz w:val="24"/>
          <w:szCs w:val="24"/>
        </w:rPr>
        <w:tab/>
      </w:r>
      <w:r w:rsidRPr="00C11169">
        <w:rPr>
          <w:rFonts w:eastAsia="Calibri"/>
          <w:sz w:val="24"/>
          <w:szCs w:val="24"/>
        </w:rPr>
        <w:tab/>
        <w:t xml:space="preserve"> </w:t>
      </w:r>
    </w:p>
    <w:p w14:paraId="439B80B6" w14:textId="77777777" w:rsidR="006E0614" w:rsidRPr="00C11169" w:rsidRDefault="00EA3905">
      <w:pPr>
        <w:spacing w:line="328" w:lineRule="auto"/>
        <w:jc w:val="right"/>
        <w:rPr>
          <w:rFonts w:eastAsia="Calibri"/>
          <w:sz w:val="24"/>
          <w:szCs w:val="24"/>
          <w:highlight w:val="yellow"/>
        </w:rPr>
      </w:pPr>
      <w:r w:rsidRPr="00C11169">
        <w:rPr>
          <w:rFonts w:eastAsia="Calibri"/>
          <w:sz w:val="24"/>
          <w:szCs w:val="24"/>
          <w:highlight w:val="yellow"/>
        </w:rPr>
        <w:t>Ville, Date</w:t>
      </w:r>
    </w:p>
    <w:p w14:paraId="3FA5A799" w14:textId="77777777" w:rsidR="006E0614" w:rsidRPr="00C11169" w:rsidRDefault="006E0614">
      <w:pPr>
        <w:rPr>
          <w:rFonts w:eastAsia="Calibri"/>
          <w:sz w:val="24"/>
          <w:szCs w:val="24"/>
        </w:rPr>
      </w:pPr>
    </w:p>
    <w:p w14:paraId="511B7E7C" w14:textId="77777777" w:rsidR="006E0614" w:rsidRPr="00C11169" w:rsidRDefault="006E0614">
      <w:pPr>
        <w:spacing w:line="328" w:lineRule="auto"/>
        <w:rPr>
          <w:rFonts w:eastAsia="Calibri"/>
          <w:b/>
          <w:sz w:val="24"/>
          <w:szCs w:val="24"/>
        </w:rPr>
      </w:pPr>
    </w:p>
    <w:p w14:paraId="26D03616" w14:textId="77777777" w:rsidR="006E0614" w:rsidRPr="00C11169" w:rsidRDefault="00EA3905">
      <w:pPr>
        <w:spacing w:line="328" w:lineRule="auto"/>
        <w:rPr>
          <w:rFonts w:eastAsia="Calibri"/>
          <w:sz w:val="24"/>
          <w:szCs w:val="24"/>
        </w:rPr>
      </w:pPr>
      <w:r w:rsidRPr="00C11169">
        <w:rPr>
          <w:rFonts w:eastAsia="Calibri"/>
          <w:sz w:val="24"/>
          <w:szCs w:val="24"/>
        </w:rPr>
        <w:t>Madame, Monsieur,</w:t>
      </w:r>
    </w:p>
    <w:p w14:paraId="1CB7B812" w14:textId="77777777" w:rsidR="006E0614" w:rsidRPr="00C11169" w:rsidRDefault="006E0614">
      <w:pPr>
        <w:spacing w:line="328" w:lineRule="auto"/>
        <w:rPr>
          <w:rFonts w:eastAsia="Calibri"/>
          <w:sz w:val="24"/>
          <w:szCs w:val="24"/>
        </w:rPr>
      </w:pPr>
    </w:p>
    <w:p w14:paraId="4F1D485B" w14:textId="77777777" w:rsidR="006E0614" w:rsidRPr="00C11169" w:rsidRDefault="00EA3905">
      <w:pPr>
        <w:spacing w:line="328" w:lineRule="auto"/>
        <w:rPr>
          <w:rFonts w:eastAsia="Calibri"/>
          <w:sz w:val="24"/>
          <w:szCs w:val="24"/>
        </w:rPr>
      </w:pPr>
      <w:r w:rsidRPr="00C11169">
        <w:rPr>
          <w:rFonts w:eastAsia="Calibri"/>
          <w:sz w:val="24"/>
          <w:szCs w:val="24"/>
        </w:rPr>
        <w:t xml:space="preserve">Je vous contacte au sujet de l’initiative lancée par la Commission </w:t>
      </w:r>
      <w:r w:rsidRPr="00C11169">
        <w:rPr>
          <w:rFonts w:eastAsia="Calibri"/>
          <w:sz w:val="24"/>
          <w:szCs w:val="24"/>
        </w:rPr>
        <w:t>européenne de mettre en place une Cour d’investissement multilatérale  (CIM). J’apprécie les efforts entrepris pour résoudre les problèmes engendrés par les ISDS, mais je suis inquiet car le CIM s’inscrit dans la continuité de cette logique. Je voudrais vo</w:t>
      </w:r>
      <w:r w:rsidRPr="00C11169">
        <w:rPr>
          <w:rFonts w:eastAsia="Calibri"/>
          <w:sz w:val="24"/>
          <w:szCs w:val="24"/>
        </w:rPr>
        <w:t>us demander de dire non à ce projet qui donne encore plus de droits aux investisseurs étrangers.</w:t>
      </w:r>
    </w:p>
    <w:p w14:paraId="316D9F47" w14:textId="77777777" w:rsidR="006E0614" w:rsidRPr="00C11169" w:rsidRDefault="006E0614">
      <w:pPr>
        <w:spacing w:line="328" w:lineRule="auto"/>
        <w:rPr>
          <w:rFonts w:eastAsia="Calibri"/>
          <w:sz w:val="24"/>
          <w:szCs w:val="24"/>
        </w:rPr>
      </w:pPr>
    </w:p>
    <w:p w14:paraId="558446ED" w14:textId="77777777" w:rsidR="006E0614" w:rsidRPr="00C11169" w:rsidRDefault="00EA3905">
      <w:pPr>
        <w:spacing w:line="328" w:lineRule="auto"/>
        <w:rPr>
          <w:rFonts w:eastAsia="Calibri"/>
          <w:sz w:val="24"/>
          <w:szCs w:val="24"/>
        </w:rPr>
      </w:pPr>
      <w:r w:rsidRPr="00C11169">
        <w:rPr>
          <w:rFonts w:eastAsia="Calibri"/>
          <w:sz w:val="24"/>
          <w:szCs w:val="24"/>
        </w:rPr>
        <w:t>Les recherches ont montré que les traités d’investissement ne font pas augmenter les investissements directs étrangers. Par contraste, l’utilisation de ces tr</w:t>
      </w:r>
      <w:r w:rsidRPr="00C11169">
        <w:rPr>
          <w:rFonts w:eastAsia="Calibri"/>
          <w:sz w:val="24"/>
          <w:szCs w:val="24"/>
        </w:rPr>
        <w:t xml:space="preserve">aités pour attaquer les politiques d’intérêt public a été largement documentée. De plus, je comprends que le MIC pourrait bien être incompatible avec le droit européen [1]. </w:t>
      </w:r>
    </w:p>
    <w:p w14:paraId="4EA1CDA9" w14:textId="77777777" w:rsidR="006E0614" w:rsidRPr="00C11169" w:rsidRDefault="006E0614">
      <w:pPr>
        <w:spacing w:line="328" w:lineRule="auto"/>
        <w:rPr>
          <w:rFonts w:eastAsia="Calibri"/>
          <w:sz w:val="24"/>
          <w:szCs w:val="24"/>
        </w:rPr>
      </w:pPr>
    </w:p>
    <w:p w14:paraId="305BA4E3" w14:textId="77777777" w:rsidR="006E0614" w:rsidRPr="00C11169" w:rsidRDefault="00EA3905">
      <w:pPr>
        <w:spacing w:line="328" w:lineRule="auto"/>
        <w:rPr>
          <w:rFonts w:eastAsia="Calibri"/>
          <w:sz w:val="24"/>
          <w:szCs w:val="24"/>
        </w:rPr>
      </w:pPr>
      <w:r w:rsidRPr="00C11169">
        <w:rPr>
          <w:rFonts w:eastAsia="Calibri"/>
          <w:sz w:val="24"/>
          <w:szCs w:val="24"/>
        </w:rPr>
        <w:t>Selon moi, le système d’arbitrage actuel comporte des défauts importants, qui son</w:t>
      </w:r>
      <w:r w:rsidRPr="00C11169">
        <w:rPr>
          <w:rFonts w:eastAsia="Calibri"/>
          <w:sz w:val="24"/>
          <w:szCs w:val="24"/>
        </w:rPr>
        <w:t>t les suivants :</w:t>
      </w:r>
    </w:p>
    <w:p w14:paraId="46D15FCC" w14:textId="77777777" w:rsidR="006E0614" w:rsidRPr="00C11169" w:rsidRDefault="006E0614">
      <w:pPr>
        <w:spacing w:line="328" w:lineRule="auto"/>
        <w:rPr>
          <w:rFonts w:eastAsia="Calibri"/>
          <w:sz w:val="24"/>
          <w:szCs w:val="24"/>
        </w:rPr>
      </w:pPr>
    </w:p>
    <w:p w14:paraId="6954EBF3" w14:textId="77777777" w:rsidR="006E0614" w:rsidRPr="00C11169" w:rsidRDefault="00EA3905">
      <w:pPr>
        <w:spacing w:line="328" w:lineRule="auto"/>
        <w:rPr>
          <w:rFonts w:eastAsia="Calibri"/>
          <w:sz w:val="24"/>
          <w:szCs w:val="24"/>
        </w:rPr>
      </w:pPr>
      <w:r w:rsidRPr="00C11169">
        <w:rPr>
          <w:rFonts w:eastAsia="Calibri"/>
          <w:sz w:val="24"/>
          <w:szCs w:val="24"/>
        </w:rPr>
        <w:t xml:space="preserve">- </w:t>
      </w:r>
      <w:r w:rsidRPr="00C11169">
        <w:rPr>
          <w:rFonts w:eastAsia="Calibri"/>
          <w:b/>
          <w:sz w:val="24"/>
          <w:szCs w:val="24"/>
        </w:rPr>
        <w:t xml:space="preserve">Les investisseurs étrangers ne sont pas obligés d’utiliser les voies de recours locales </w:t>
      </w:r>
      <w:r w:rsidRPr="00C11169">
        <w:rPr>
          <w:rFonts w:eastAsia="Calibri"/>
          <w:sz w:val="24"/>
          <w:szCs w:val="24"/>
        </w:rPr>
        <w:t>avant de déposer une demande devant la Cour internationale : les gens comme moi doivent épuiser les recours nationaux avant de se tourner vers les j</w:t>
      </w:r>
      <w:r w:rsidRPr="00C11169">
        <w:rPr>
          <w:rFonts w:eastAsia="Calibri"/>
          <w:sz w:val="24"/>
          <w:szCs w:val="24"/>
        </w:rPr>
        <w:t>uridictions internationales, tandis que les investisseurs étrangers (dont les ressources sont nettement plus significatives) peuvent les outrepasser.</w:t>
      </w:r>
    </w:p>
    <w:p w14:paraId="79ECB71E" w14:textId="77777777" w:rsidR="006E0614" w:rsidRPr="00C11169" w:rsidRDefault="006E0614">
      <w:pPr>
        <w:rPr>
          <w:rFonts w:eastAsia="Calibri"/>
          <w:sz w:val="24"/>
          <w:szCs w:val="24"/>
        </w:rPr>
      </w:pPr>
    </w:p>
    <w:p w14:paraId="093A050B" w14:textId="77777777" w:rsidR="006E0614" w:rsidRPr="00C11169" w:rsidRDefault="00EA3905">
      <w:pPr>
        <w:spacing w:line="328" w:lineRule="auto"/>
        <w:rPr>
          <w:rFonts w:eastAsia="Calibri"/>
          <w:b/>
          <w:sz w:val="24"/>
          <w:szCs w:val="24"/>
        </w:rPr>
      </w:pPr>
      <w:r w:rsidRPr="00C11169">
        <w:rPr>
          <w:rFonts w:eastAsia="Calibri"/>
          <w:sz w:val="24"/>
          <w:szCs w:val="24"/>
        </w:rPr>
        <w:t>- Le CIM ne limiterait pas l’envergure des droits accordés aux investisseurs étrangers, car</w:t>
      </w:r>
      <w:r w:rsidRPr="00C11169">
        <w:rPr>
          <w:rFonts w:eastAsia="Calibri"/>
          <w:b/>
          <w:sz w:val="24"/>
          <w:szCs w:val="24"/>
        </w:rPr>
        <w:t xml:space="preserve"> la propositio</w:t>
      </w:r>
      <w:r w:rsidRPr="00C11169">
        <w:rPr>
          <w:rFonts w:eastAsia="Calibri"/>
          <w:b/>
          <w:sz w:val="24"/>
          <w:szCs w:val="24"/>
        </w:rPr>
        <w:t>n actuelle ne comprend pas de clause visant à assurer que les droits humains priment toujours sur les droits des investisseurs étrangers.</w:t>
      </w:r>
    </w:p>
    <w:p w14:paraId="11E03650" w14:textId="77777777" w:rsidR="006E0614" w:rsidRPr="00C11169" w:rsidRDefault="006E0614">
      <w:pPr>
        <w:rPr>
          <w:rFonts w:eastAsia="Calibri"/>
          <w:b/>
          <w:sz w:val="24"/>
          <w:szCs w:val="24"/>
        </w:rPr>
      </w:pPr>
    </w:p>
    <w:p w14:paraId="61906132" w14:textId="77777777" w:rsidR="006E0614" w:rsidRPr="00C11169" w:rsidRDefault="00EA3905">
      <w:pPr>
        <w:spacing w:line="328" w:lineRule="auto"/>
        <w:rPr>
          <w:rFonts w:eastAsia="Calibri"/>
          <w:b/>
          <w:sz w:val="24"/>
          <w:szCs w:val="24"/>
        </w:rPr>
      </w:pPr>
      <w:r w:rsidRPr="00C11169">
        <w:rPr>
          <w:rFonts w:eastAsia="Calibri"/>
          <w:b/>
          <w:sz w:val="24"/>
          <w:szCs w:val="24"/>
        </w:rPr>
        <w:t>- Seuls les investisseurs étrangers seraient en mesure d’accéder au CIM, contrairement aux pouvoirs publics locaux ou</w:t>
      </w:r>
      <w:r w:rsidRPr="00C11169">
        <w:rPr>
          <w:rFonts w:eastAsia="Calibri"/>
          <w:b/>
          <w:sz w:val="24"/>
          <w:szCs w:val="24"/>
        </w:rPr>
        <w:t xml:space="preserve"> nationaux, alors même touchés par l’inconduite des investisseurs étrangers. </w:t>
      </w:r>
    </w:p>
    <w:p w14:paraId="7AED9599" w14:textId="77777777" w:rsidR="006E0614" w:rsidRPr="00C11169" w:rsidRDefault="006E0614">
      <w:pPr>
        <w:spacing w:line="328" w:lineRule="auto"/>
        <w:rPr>
          <w:rFonts w:eastAsia="Calibri"/>
          <w:b/>
          <w:sz w:val="24"/>
          <w:szCs w:val="24"/>
        </w:rPr>
      </w:pPr>
    </w:p>
    <w:p w14:paraId="07911801" w14:textId="77777777" w:rsidR="006E0614" w:rsidRPr="00C11169" w:rsidRDefault="00EA3905">
      <w:pPr>
        <w:spacing w:line="328" w:lineRule="auto"/>
        <w:rPr>
          <w:rFonts w:eastAsia="Calibri"/>
          <w:b/>
          <w:sz w:val="24"/>
          <w:szCs w:val="24"/>
        </w:rPr>
      </w:pPr>
      <w:r w:rsidRPr="00C11169">
        <w:rPr>
          <w:rFonts w:eastAsia="Calibri"/>
          <w:sz w:val="24"/>
          <w:szCs w:val="24"/>
        </w:rPr>
        <w:t>Comme vous le savez, l’intérêt du grand public pour ce débat est considérable, et chaque jour plus grand. Aujourd’hui certains pays hors UE ont entrepris un remaniement bien plu</w:t>
      </w:r>
      <w:r w:rsidRPr="00C11169">
        <w:rPr>
          <w:rFonts w:eastAsia="Calibri"/>
          <w:sz w:val="24"/>
          <w:szCs w:val="24"/>
        </w:rPr>
        <w:t xml:space="preserve">s complet de leurs politiques d’investissement. Je pense que </w:t>
      </w:r>
      <w:r w:rsidRPr="00C11169">
        <w:rPr>
          <w:rFonts w:eastAsia="Calibri"/>
          <w:b/>
          <w:sz w:val="24"/>
          <w:szCs w:val="24"/>
        </w:rPr>
        <w:t>le moment est venu de lancer un débat plus dense sur la réforme de l’arbitrage dans les traités d’investissement.</w:t>
      </w:r>
    </w:p>
    <w:p w14:paraId="645296EF" w14:textId="77777777" w:rsidR="006E0614" w:rsidRPr="00C11169" w:rsidRDefault="006E0614">
      <w:pPr>
        <w:spacing w:line="328" w:lineRule="auto"/>
        <w:rPr>
          <w:rFonts w:eastAsia="Calibri"/>
          <w:b/>
          <w:sz w:val="24"/>
          <w:szCs w:val="24"/>
        </w:rPr>
      </w:pPr>
    </w:p>
    <w:p w14:paraId="4F752DFC" w14:textId="77777777" w:rsidR="006E0614" w:rsidRDefault="00EA3905">
      <w:pPr>
        <w:spacing w:line="328" w:lineRule="auto"/>
        <w:rPr>
          <w:rFonts w:eastAsia="Calibri"/>
          <w:sz w:val="24"/>
          <w:szCs w:val="24"/>
        </w:rPr>
      </w:pPr>
      <w:r w:rsidRPr="00C11169">
        <w:rPr>
          <w:rFonts w:eastAsia="Calibri"/>
          <w:sz w:val="24"/>
          <w:szCs w:val="24"/>
        </w:rPr>
        <w:t>Pour toutes les raisons ci-dessous, je vous demande d’étudier la nécessité</w:t>
      </w:r>
      <w:r w:rsidRPr="00C11169">
        <w:rPr>
          <w:rFonts w:eastAsia="Calibri"/>
          <w:sz w:val="24"/>
          <w:szCs w:val="24"/>
        </w:rPr>
        <w:t xml:space="preserve"> et les risques des droits spécifiques aux investisseurs étrangers avant de vous lancer dans une réforme du système actuel et d’éclaircir certains points en demandant l’avis de la Cour de justice de l’Union européenne sur la question de la compatibilité du</w:t>
      </w:r>
      <w:r w:rsidRPr="00C11169">
        <w:rPr>
          <w:rFonts w:eastAsia="Calibri"/>
          <w:sz w:val="24"/>
          <w:szCs w:val="24"/>
        </w:rPr>
        <w:t xml:space="preserve"> CIM avec la législation européenne.</w:t>
      </w:r>
    </w:p>
    <w:p w14:paraId="5D71EA3F" w14:textId="77777777" w:rsidR="00C11169" w:rsidRPr="00C11169" w:rsidRDefault="00C11169">
      <w:pPr>
        <w:spacing w:line="328" w:lineRule="auto"/>
        <w:rPr>
          <w:rFonts w:eastAsia="Calibri"/>
          <w:sz w:val="24"/>
          <w:szCs w:val="24"/>
        </w:rPr>
      </w:pPr>
    </w:p>
    <w:p w14:paraId="76345A96" w14:textId="77777777" w:rsidR="006E0614" w:rsidRDefault="00EA3905">
      <w:pPr>
        <w:spacing w:line="328" w:lineRule="auto"/>
        <w:rPr>
          <w:rFonts w:eastAsia="Calibri"/>
          <w:sz w:val="24"/>
          <w:szCs w:val="24"/>
        </w:rPr>
      </w:pPr>
      <w:r w:rsidRPr="00C11169">
        <w:rPr>
          <w:rFonts w:eastAsia="Calibri"/>
          <w:sz w:val="24"/>
          <w:szCs w:val="24"/>
        </w:rPr>
        <w:t>Merci d’avoir pris le temps de me lire.</w:t>
      </w:r>
    </w:p>
    <w:p w14:paraId="51841551" w14:textId="77777777" w:rsidR="00C11169" w:rsidRPr="00C11169" w:rsidRDefault="00C11169">
      <w:pPr>
        <w:spacing w:line="328" w:lineRule="auto"/>
        <w:rPr>
          <w:rFonts w:eastAsia="Calibri"/>
          <w:sz w:val="24"/>
          <w:szCs w:val="24"/>
        </w:rPr>
      </w:pPr>
    </w:p>
    <w:p w14:paraId="5332A2C2" w14:textId="77777777" w:rsidR="006E0614" w:rsidRPr="00C11169" w:rsidRDefault="00EA3905">
      <w:pPr>
        <w:spacing w:line="328" w:lineRule="auto"/>
        <w:rPr>
          <w:rFonts w:eastAsia="Calibri"/>
          <w:sz w:val="24"/>
          <w:szCs w:val="24"/>
        </w:rPr>
      </w:pPr>
      <w:r w:rsidRPr="00C11169">
        <w:rPr>
          <w:rFonts w:eastAsia="Calibri"/>
          <w:sz w:val="24"/>
          <w:szCs w:val="24"/>
        </w:rPr>
        <w:t>Cordialement,</w:t>
      </w:r>
    </w:p>
    <w:p w14:paraId="589AE09D" w14:textId="77777777" w:rsidR="006E0614" w:rsidRPr="00C11169" w:rsidRDefault="006E0614">
      <w:pPr>
        <w:rPr>
          <w:rFonts w:eastAsia="Calibri"/>
          <w:sz w:val="24"/>
          <w:szCs w:val="24"/>
        </w:rPr>
      </w:pPr>
    </w:p>
    <w:p w14:paraId="48A7D5B4" w14:textId="77777777" w:rsidR="006E0614" w:rsidRDefault="006E0614">
      <w:pPr>
        <w:rPr>
          <w:rFonts w:eastAsia="Calibri"/>
          <w:sz w:val="24"/>
          <w:szCs w:val="24"/>
        </w:rPr>
      </w:pPr>
    </w:p>
    <w:p w14:paraId="69BE3F18" w14:textId="77777777" w:rsidR="00C11169" w:rsidRDefault="00C11169">
      <w:pPr>
        <w:rPr>
          <w:rFonts w:eastAsia="Calibri"/>
          <w:sz w:val="24"/>
          <w:szCs w:val="24"/>
        </w:rPr>
      </w:pPr>
    </w:p>
    <w:p w14:paraId="42875A5A" w14:textId="77777777" w:rsidR="00C11169" w:rsidRDefault="00C11169">
      <w:pPr>
        <w:rPr>
          <w:rFonts w:eastAsia="Calibri"/>
          <w:sz w:val="24"/>
          <w:szCs w:val="24"/>
        </w:rPr>
      </w:pPr>
    </w:p>
    <w:p w14:paraId="5DA21858" w14:textId="77777777" w:rsidR="00C11169" w:rsidRPr="00C11169" w:rsidRDefault="00C11169">
      <w:pPr>
        <w:rPr>
          <w:rFonts w:eastAsia="Calibri"/>
          <w:sz w:val="24"/>
          <w:szCs w:val="24"/>
        </w:rPr>
      </w:pPr>
    </w:p>
    <w:p w14:paraId="2E8CC628" w14:textId="77777777" w:rsidR="006E0614" w:rsidRPr="00C11169" w:rsidRDefault="006E0614">
      <w:pPr>
        <w:rPr>
          <w:rFonts w:eastAsia="Calibri"/>
          <w:sz w:val="24"/>
          <w:szCs w:val="24"/>
        </w:rPr>
      </w:pPr>
    </w:p>
    <w:p w14:paraId="699AAC5E" w14:textId="77777777" w:rsidR="006E0614" w:rsidRPr="00C11169" w:rsidRDefault="00EA3905">
      <w:pPr>
        <w:spacing w:line="328" w:lineRule="auto"/>
        <w:rPr>
          <w:rFonts w:eastAsia="Calibri"/>
          <w:color w:val="1155CC"/>
          <w:sz w:val="24"/>
          <w:szCs w:val="24"/>
          <w:u w:val="single"/>
        </w:rPr>
      </w:pPr>
      <w:r w:rsidRPr="00C11169">
        <w:rPr>
          <w:rFonts w:eastAsia="Calibri"/>
          <w:sz w:val="24"/>
          <w:szCs w:val="24"/>
        </w:rPr>
        <w:t>[1]</w:t>
      </w:r>
      <w:hyperlink r:id="rId4">
        <w:r w:rsidRPr="00C11169">
          <w:rPr>
            <w:rFonts w:eastAsia="Calibri"/>
            <w:sz w:val="24"/>
            <w:szCs w:val="24"/>
          </w:rPr>
          <w:t xml:space="preserve"> </w:t>
        </w:r>
      </w:hyperlink>
      <w:r w:rsidRPr="00C11169">
        <w:fldChar w:fldCharType="begin"/>
      </w:r>
      <w:r w:rsidRPr="00C11169">
        <w:instrText xml:space="preserve"> HYPERLINK "https://www.clientearth.org/101-law-professors-say-isds-is-incompatible-with-eu-law/" </w:instrText>
      </w:r>
      <w:r w:rsidRPr="00C11169">
        <w:fldChar w:fldCharType="separate"/>
      </w:r>
      <w:r w:rsidRPr="00C11169">
        <w:rPr>
          <w:rFonts w:eastAsia="Calibri"/>
          <w:color w:val="1155CC"/>
          <w:sz w:val="24"/>
          <w:szCs w:val="24"/>
          <w:u w:val="single"/>
        </w:rPr>
        <w:t>https://www.clientearth.org/101-law-professors-say-isds-is-incompatible-with-eu-law/</w:t>
      </w:r>
    </w:p>
    <w:p w14:paraId="6DD3890F" w14:textId="77777777" w:rsidR="006E0614" w:rsidRPr="00C11169" w:rsidRDefault="006E0614">
      <w:pPr>
        <w:rPr>
          <w:rFonts w:eastAsia="Calibri"/>
          <w:color w:val="1155CC"/>
          <w:sz w:val="24"/>
          <w:szCs w:val="24"/>
          <w:u w:val="single"/>
        </w:rPr>
      </w:pPr>
    </w:p>
    <w:p w14:paraId="673DE867" w14:textId="77777777" w:rsidR="006E0614" w:rsidRPr="00C11169" w:rsidRDefault="00EA3905">
      <w:pPr>
        <w:rPr>
          <w:rFonts w:eastAsia="Calibri"/>
          <w:sz w:val="24"/>
          <w:szCs w:val="24"/>
        </w:rPr>
      </w:pPr>
      <w:r w:rsidRPr="00C11169">
        <w:fldChar w:fldCharType="end"/>
      </w:r>
    </w:p>
    <w:sectPr w:rsidR="006E0614" w:rsidRPr="00C1116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
  <w:rsids>
    <w:rsidRoot w:val="006E0614"/>
    <w:rsid w:val="006E0614"/>
    <w:rsid w:val="00C11169"/>
    <w:rsid w:val="00CD673A"/>
    <w:rsid w:val="00EA39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E24D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clientearth.org/101-law-professors-say-isds-is-incompatible-with-eu-law/"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Macintosh Word</Application>
  <DocSecurity>0</DocSecurity>
  <Lines>20</Lines>
  <Paragraphs>5</Paragraphs>
  <ScaleCrop>false</ScaleCrop>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2017-10-26T07:08:00Z</dcterms:created>
  <dcterms:modified xsi:type="dcterms:W3CDTF">2017-10-26T07:08:00Z</dcterms:modified>
</cp:coreProperties>
</file>